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</w:pPr>
      <w:r>
        <w:rPr>
          <w:b/>
          <w:color w:val="0E467A"/>
          <w:sz w:val="44"/>
        </w:rPr>
        <w:t>Building Permit Application Data Checklist (Serbia)</w:t>
      </w:r>
    </w:p>
    <w:p>
      <w:pPr>
        <w:spacing w:after="160"/>
      </w:pPr>
      <w:r>
        <w:rPr>
          <w:color w:val="5A6270"/>
          <w:sz w:val="21"/>
        </w:rPr>
        <w:t>Three-language reference resource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Languages: </w:t>
            </w:r>
            <w:r>
              <w:rPr>
                <w:sz w:val="18"/>
              </w:rPr>
              <w:t>SR / EN / RU</w:t>
            </w:r>
          </w:p>
        </w:tc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Category: </w:t>
            </w:r>
            <w:r>
              <w:rPr>
                <w:sz w:val="18"/>
              </w:rPr>
              <w:t>Permits &amp; Documentation, Guides, Checklists</w:t>
            </w:r>
          </w:p>
        </w:tc>
      </w:tr>
    </w:tbl>
    <w:p/>
    <w:p>
      <w:pPr>
        <w:spacing w:before="200" w:after="80"/>
      </w:pPr>
      <w:r>
        <w:rPr>
          <w:b/>
          <w:color w:val="0E467A"/>
          <w:sz w:val="28"/>
        </w:rPr>
        <w:t>SR</w:t>
      </w:r>
    </w:p>
    <w:p>
      <w:pPr>
        <w:spacing w:after="100" w:line="264" w:lineRule="auto"/>
      </w:pPr>
      <w:r>
        <w:rPr>
          <w:sz w:val="20"/>
        </w:rPr>
        <w:t>Kontrolna lista podataka i pripreme za zahtev povezan sa građevinskom dozvolom. Nije zvanični obrazac, već praktičan pregled tema koje je korisno proveriti pre predaje i koordinacije sa projektantom.</w:t>
      </w:r>
    </w:p>
    <w:p>
      <w:pPr>
        <w:spacing w:before="200" w:after="80"/>
      </w:pPr>
      <w:r>
        <w:rPr>
          <w:b/>
          <w:color w:val="0E467A"/>
          <w:sz w:val="28"/>
        </w:rPr>
        <w:t>Teme za proveru</w:t>
      </w:r>
    </w:p>
    <w:p>
      <w:pPr>
        <w:pStyle w:val="ListBullet"/>
        <w:spacing w:after="20"/>
      </w:pPr>
      <w:r>
        <w:rPr>
          <w:sz w:val="20"/>
        </w:rPr>
        <w:t>identitet investitora i osnovni podaci</w:t>
      </w:r>
    </w:p>
    <w:p>
      <w:pPr>
        <w:pStyle w:val="ListBullet"/>
        <w:spacing w:after="20"/>
      </w:pPr>
      <w:r>
        <w:rPr>
          <w:sz w:val="20"/>
        </w:rPr>
        <w:t>podaci o lokaciji i parceli</w:t>
      </w:r>
    </w:p>
    <w:p>
      <w:pPr>
        <w:pStyle w:val="ListBullet"/>
        <w:spacing w:after="20"/>
      </w:pPr>
      <w:r>
        <w:rPr>
          <w:sz w:val="20"/>
        </w:rPr>
        <w:t>status i faza tehničke dokumentacije</w:t>
      </w:r>
    </w:p>
    <w:p>
      <w:pPr>
        <w:pStyle w:val="ListBullet"/>
        <w:spacing w:after="20"/>
      </w:pPr>
      <w:r>
        <w:rPr>
          <w:sz w:val="20"/>
        </w:rPr>
        <w:t>postojanje potrebnih uslova i saglasnosti</w:t>
      </w:r>
    </w:p>
    <w:p>
      <w:pPr>
        <w:pStyle w:val="ListBullet"/>
        <w:spacing w:after="20"/>
      </w:pPr>
      <w:r>
        <w:rPr>
          <w:sz w:val="20"/>
        </w:rPr>
        <w:t>usklađenost sa procedurom i prilozima</w:t>
      </w:r>
    </w:p>
    <w:p>
      <w:pPr>
        <w:pStyle w:val="ListBullet"/>
        <w:spacing w:after="20"/>
      </w:pPr>
      <w:r>
        <w:rPr>
          <w:sz w:val="20"/>
        </w:rPr>
        <w:t>spremnost za elektronsku predaju kroz relevantan sistem</w:t>
      </w:r>
    </w:p>
    <w:p>
      <w:pPr>
        <w:spacing w:before="200" w:after="80"/>
      </w:pPr>
      <w:r>
        <w:rPr>
          <w:b/>
          <w:color w:val="0E467A"/>
          <w:sz w:val="28"/>
        </w:rPr>
        <w:t>Praktična napomena</w:t>
      </w:r>
    </w:p>
    <w:p>
      <w:pPr>
        <w:spacing w:after="100" w:line="264" w:lineRule="auto"/>
      </w:pPr>
      <w:r>
        <w:rPr>
          <w:sz w:val="20"/>
        </w:rPr>
        <w:t>Konačni skup priloga i način predaje zavise od vrste objekta i primenljive procedure.</w:t>
      </w:r>
    </w:p>
    <w:p/>
    <w:p>
      <w:pPr>
        <w:spacing w:before="200" w:after="80"/>
      </w:pPr>
      <w:r>
        <w:rPr>
          <w:b/>
          <w:color w:val="0E467A"/>
          <w:sz w:val="28"/>
        </w:rPr>
        <w:t>EN</w:t>
      </w:r>
    </w:p>
    <w:p>
      <w:pPr>
        <w:spacing w:after="100" w:line="264" w:lineRule="auto"/>
      </w:pPr>
      <w:r>
        <w:rPr>
          <w:sz w:val="20"/>
        </w:rPr>
        <w:t>A practical checklist for preparing information related to a construction permit application. This is not an official form; it is a planning aid for early coordination with the design team.</w:t>
      </w:r>
    </w:p>
    <w:p>
      <w:pPr>
        <w:spacing w:before="200" w:after="80"/>
      </w:pPr>
      <w:r>
        <w:rPr>
          <w:b/>
          <w:color w:val="0E467A"/>
          <w:sz w:val="28"/>
        </w:rPr>
        <w:t>Topics to review</w:t>
      </w:r>
    </w:p>
    <w:p>
      <w:pPr>
        <w:pStyle w:val="ListBullet"/>
        <w:spacing w:after="20"/>
      </w:pPr>
      <w:r>
        <w:rPr>
          <w:sz w:val="20"/>
        </w:rPr>
        <w:t>investor identity and basic data</w:t>
      </w:r>
    </w:p>
    <w:p>
      <w:pPr>
        <w:pStyle w:val="ListBullet"/>
        <w:spacing w:after="20"/>
      </w:pPr>
      <w:r>
        <w:rPr>
          <w:sz w:val="20"/>
        </w:rPr>
        <w:t>location and parcel information</w:t>
      </w:r>
    </w:p>
    <w:p>
      <w:pPr>
        <w:pStyle w:val="ListBullet"/>
        <w:spacing w:after="20"/>
      </w:pPr>
      <w:r>
        <w:rPr>
          <w:sz w:val="20"/>
        </w:rPr>
        <w:t>status and phase of technical documentation</w:t>
      </w:r>
    </w:p>
    <w:p>
      <w:pPr>
        <w:pStyle w:val="ListBullet"/>
        <w:spacing w:after="20"/>
      </w:pPr>
      <w:r>
        <w:rPr>
          <w:sz w:val="20"/>
        </w:rPr>
        <w:t>required conditions and approvals</w:t>
      </w:r>
    </w:p>
    <w:p>
      <w:pPr>
        <w:pStyle w:val="ListBullet"/>
        <w:spacing w:after="20"/>
      </w:pPr>
      <w:r>
        <w:rPr>
          <w:sz w:val="20"/>
        </w:rPr>
        <w:t>procedure and attachment readiness</w:t>
      </w:r>
    </w:p>
    <w:p>
      <w:pPr>
        <w:pStyle w:val="ListBullet"/>
        <w:spacing w:after="20"/>
      </w:pPr>
      <w:r>
        <w:rPr>
          <w:sz w:val="20"/>
        </w:rPr>
        <w:t>readiness for electronic submission in the relevant system</w:t>
      </w:r>
    </w:p>
    <w:p>
      <w:pPr>
        <w:spacing w:before="200" w:after="80"/>
      </w:pPr>
      <w:r>
        <w:rPr>
          <w:b/>
          <w:color w:val="0E467A"/>
          <w:sz w:val="28"/>
        </w:rPr>
        <w:t>Practical note</w:t>
      </w:r>
    </w:p>
    <w:p>
      <w:pPr>
        <w:spacing w:after="100" w:line="264" w:lineRule="auto"/>
      </w:pPr>
      <w:r>
        <w:rPr>
          <w:sz w:val="20"/>
        </w:rPr>
        <w:t>The final set of attachments and the submission method depend on the building type and the applicable procedure.</w:t>
      </w:r>
    </w:p>
    <w:p/>
    <w:p>
      <w:pPr>
        <w:spacing w:before="200" w:after="80"/>
      </w:pPr>
      <w:r>
        <w:rPr>
          <w:b/>
          <w:color w:val="0E467A"/>
          <w:sz w:val="28"/>
        </w:rPr>
        <w:t>RU</w:t>
      </w:r>
    </w:p>
    <w:p>
      <w:pPr>
        <w:spacing w:after="100" w:line="264" w:lineRule="auto"/>
      </w:pPr>
      <w:r>
        <w:rPr>
          <w:sz w:val="20"/>
        </w:rPr>
        <w:t>Практический чек-лист для подготовки информации, связанной с заявлением на строительное разрешение. Это не официальный бланк, а вспомогательный материал для ранней координации с проектной командой.</w:t>
      </w:r>
    </w:p>
    <w:p>
      <w:pPr>
        <w:spacing w:before="200" w:after="80"/>
      </w:pPr>
      <w:r>
        <w:rPr>
          <w:b/>
          <w:color w:val="0E467A"/>
          <w:sz w:val="28"/>
        </w:rPr>
        <w:t>Темы для проверки</w:t>
      </w:r>
    </w:p>
    <w:p>
      <w:pPr>
        <w:pStyle w:val="ListBullet"/>
        <w:spacing w:after="20"/>
      </w:pPr>
      <w:r>
        <w:rPr>
          <w:sz w:val="20"/>
        </w:rPr>
        <w:t>данные инвестора и базовая информация</w:t>
      </w:r>
    </w:p>
    <w:p>
      <w:pPr>
        <w:pStyle w:val="ListBullet"/>
        <w:spacing w:after="20"/>
      </w:pPr>
      <w:r>
        <w:rPr>
          <w:sz w:val="20"/>
        </w:rPr>
        <w:t>данные о локации и участке</w:t>
      </w:r>
    </w:p>
    <w:p>
      <w:pPr>
        <w:pStyle w:val="ListBullet"/>
        <w:spacing w:after="20"/>
      </w:pPr>
      <w:r>
        <w:rPr>
          <w:sz w:val="20"/>
        </w:rPr>
        <w:t>статус и стадия технической документации</w:t>
      </w:r>
    </w:p>
    <w:p>
      <w:pPr>
        <w:pStyle w:val="ListBullet"/>
        <w:spacing w:after="20"/>
      </w:pPr>
      <w:r>
        <w:rPr>
          <w:sz w:val="20"/>
        </w:rPr>
        <w:t>необходимые условия и согласования</w:t>
      </w:r>
    </w:p>
    <w:p>
      <w:pPr>
        <w:pStyle w:val="ListBullet"/>
        <w:spacing w:after="20"/>
      </w:pPr>
      <w:r>
        <w:rPr>
          <w:sz w:val="20"/>
        </w:rPr>
        <w:t>готовность по процедуре и приложениям</w:t>
      </w:r>
    </w:p>
    <w:p>
      <w:pPr>
        <w:pStyle w:val="ListBullet"/>
        <w:spacing w:after="20"/>
      </w:pPr>
      <w:r>
        <w:rPr>
          <w:sz w:val="20"/>
        </w:rPr>
        <w:t>готовность к электронной подаче в соответствующей системе</w:t>
      </w:r>
    </w:p>
    <w:p>
      <w:pPr>
        <w:spacing w:before="200" w:after="80"/>
      </w:pPr>
      <w:r>
        <w:rPr>
          <w:b/>
          <w:color w:val="0E467A"/>
          <w:sz w:val="28"/>
        </w:rPr>
        <w:t>Практическая заметка</w:t>
      </w:r>
    </w:p>
    <w:p>
      <w:pPr>
        <w:spacing w:after="100" w:line="264" w:lineRule="auto"/>
      </w:pPr>
      <w:r>
        <w:rPr>
          <w:sz w:val="20"/>
        </w:rPr>
        <w:t>Итоговый набор приложений и способ подачи зависят от типа объекта и применимой процедуры.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152" w:bottom="1008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A6270"/>
        <w:sz w:val="16"/>
      </w:rPr>
      <w:t>BuildInSerbia resource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25880" cy="1734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s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173469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0"/>
      <w:pBdr>
        <w:bottom w:val="single" w:sz="6" w:space="1" w:color="D9E2EC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