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0"/>
      </w:pPr>
      <w:r>
        <w:rPr>
          <w:b/>
          <w:color w:val="0E467A"/>
          <w:sz w:val="44"/>
        </w:rPr>
        <w:t>Utility and Infrastructure Review Guide</w:t>
      </w:r>
    </w:p>
    <w:p>
      <w:pPr>
        <w:spacing w:after="160"/>
      </w:pPr>
      <w:r>
        <w:rPr>
          <w:color w:val="5A6270"/>
          <w:sz w:val="21"/>
        </w:rPr>
        <w:t>Three-language reference resource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shd w:fill="F4F7FA"/>
          </w:tcPr>
          <w:p>
            <w:pPr>
              <w:spacing w:after="0"/>
            </w:pPr>
            <w:r>
              <w:rPr>
                <w:b/>
                <w:color w:val="0E467A"/>
                <w:sz w:val="18"/>
              </w:rPr>
              <w:t xml:space="preserve">Languages: </w:t>
            </w:r>
            <w:r>
              <w:rPr>
                <w:sz w:val="18"/>
              </w:rPr>
              <w:t>SR / EN / RU</w:t>
            </w:r>
          </w:p>
        </w:tc>
        <w:tc>
          <w:tcPr>
            <w:tcW w:type="dxa" w:w="4968"/>
            <w:shd w:fill="F4F7FA"/>
          </w:tcPr>
          <w:p>
            <w:pPr>
              <w:spacing w:after="0"/>
            </w:pPr>
            <w:r>
              <w:rPr>
                <w:b/>
                <w:color w:val="0E467A"/>
                <w:sz w:val="18"/>
              </w:rPr>
              <w:t xml:space="preserve">Category: </w:t>
            </w:r>
            <w:r>
              <w:rPr>
                <w:sz w:val="18"/>
              </w:rPr>
              <w:t>Infrastructure &amp; Utilities, Guides, Pre-Construction</w:t>
            </w:r>
          </w:p>
        </w:tc>
      </w:tr>
    </w:tbl>
    <w:p/>
    <w:p>
      <w:pPr>
        <w:spacing w:before="200" w:after="80"/>
      </w:pPr>
      <w:r>
        <w:rPr>
          <w:b/>
          <w:color w:val="0E467A"/>
          <w:sz w:val="28"/>
        </w:rPr>
        <w:t>SR</w:t>
      </w:r>
    </w:p>
    <w:p>
      <w:pPr>
        <w:spacing w:after="100" w:line="264" w:lineRule="auto"/>
      </w:pPr>
      <w:r>
        <w:rPr>
          <w:sz w:val="20"/>
        </w:rPr>
        <w:t>Vodič za proveru komunalnih i infrastrukturnih uslova. Namenjen je ranoj fazi planiranja, kada priključci i ograničenja još mogu da utiču na raspored, budžet i faznost projekta.</w:t>
      </w:r>
    </w:p>
    <w:p>
      <w:pPr>
        <w:spacing w:before="200" w:after="80"/>
      </w:pPr>
      <w:r>
        <w:rPr>
          <w:b/>
          <w:color w:val="0E467A"/>
          <w:sz w:val="28"/>
        </w:rPr>
        <w:t>Šta pregled obično obuhvata</w:t>
      </w:r>
    </w:p>
    <w:p>
      <w:pPr>
        <w:pStyle w:val="ListBullet"/>
        <w:spacing w:after="20"/>
      </w:pPr>
      <w:r>
        <w:rPr>
          <w:sz w:val="20"/>
        </w:rPr>
        <w:t>struju i uslove priključenja</w:t>
      </w:r>
    </w:p>
    <w:p>
      <w:pPr>
        <w:pStyle w:val="ListBullet"/>
        <w:spacing w:after="20"/>
      </w:pPr>
      <w:r>
        <w:rPr>
          <w:sz w:val="20"/>
        </w:rPr>
        <w:t>vodu i kanalizaciju</w:t>
      </w:r>
    </w:p>
    <w:p>
      <w:pPr>
        <w:pStyle w:val="ListBullet"/>
        <w:spacing w:after="20"/>
      </w:pPr>
      <w:r>
        <w:rPr>
          <w:sz w:val="20"/>
        </w:rPr>
        <w:t>postojeće vodove i koridore</w:t>
      </w:r>
    </w:p>
    <w:p>
      <w:pPr>
        <w:pStyle w:val="ListBullet"/>
        <w:spacing w:after="20"/>
      </w:pPr>
      <w:r>
        <w:rPr>
          <w:sz w:val="20"/>
        </w:rPr>
        <w:t>pristup i servisne zahteve</w:t>
      </w:r>
    </w:p>
    <w:p>
      <w:pPr>
        <w:pStyle w:val="ListBullet"/>
        <w:spacing w:after="20"/>
      </w:pPr>
      <w:r>
        <w:rPr>
          <w:sz w:val="20"/>
        </w:rPr>
        <w:t>uticaj priključaka na raspored i budžet</w:t>
      </w:r>
    </w:p>
    <w:p>
      <w:pPr>
        <w:spacing w:before="200" w:after="80"/>
      </w:pPr>
      <w:r>
        <w:rPr>
          <w:b/>
          <w:color w:val="0E467A"/>
          <w:sz w:val="28"/>
        </w:rPr>
        <w:t>Zašto ovo često kasni</w:t>
      </w:r>
    </w:p>
    <w:p>
      <w:pPr>
        <w:spacing w:after="100" w:line="264" w:lineRule="auto"/>
      </w:pPr>
      <w:r>
        <w:rPr>
          <w:sz w:val="20"/>
        </w:rPr>
        <w:t>Priključci se često tretiraju kao kasniji administrativni korak, iako već rano mogu da promene projektne odluke.</w:t>
      </w:r>
    </w:p>
    <w:p/>
    <w:p>
      <w:pPr>
        <w:spacing w:before="200" w:after="80"/>
      </w:pPr>
      <w:r>
        <w:rPr>
          <w:b/>
          <w:color w:val="0E467A"/>
          <w:sz w:val="28"/>
        </w:rPr>
        <w:t>EN</w:t>
      </w:r>
    </w:p>
    <w:p>
      <w:pPr>
        <w:spacing w:after="100" w:line="264" w:lineRule="auto"/>
      </w:pPr>
      <w:r>
        <w:rPr>
          <w:sz w:val="20"/>
        </w:rPr>
        <w:t>A practical guide for reviewing utility and infrastructure conditions in the early project phase, when connections and constraints can still affect layout, budget, and sequencing.</w:t>
      </w:r>
    </w:p>
    <w:p>
      <w:pPr>
        <w:spacing w:before="200" w:after="80"/>
      </w:pPr>
      <w:r>
        <w:rPr>
          <w:b/>
          <w:color w:val="0E467A"/>
          <w:sz w:val="28"/>
        </w:rPr>
        <w:t>Typical review scope</w:t>
      </w:r>
    </w:p>
    <w:p>
      <w:pPr>
        <w:pStyle w:val="ListBullet"/>
        <w:spacing w:after="20"/>
      </w:pPr>
      <w:r>
        <w:rPr>
          <w:sz w:val="20"/>
        </w:rPr>
        <w:t>electricity and connection conditions</w:t>
      </w:r>
    </w:p>
    <w:p>
      <w:pPr>
        <w:pStyle w:val="ListBullet"/>
        <w:spacing w:after="20"/>
      </w:pPr>
      <w:r>
        <w:rPr>
          <w:sz w:val="20"/>
        </w:rPr>
        <w:t>water and sewer conditions</w:t>
      </w:r>
    </w:p>
    <w:p>
      <w:pPr>
        <w:pStyle w:val="ListBullet"/>
        <w:spacing w:after="20"/>
      </w:pPr>
      <w:r>
        <w:rPr>
          <w:sz w:val="20"/>
        </w:rPr>
        <w:t>existing utility lines and corridors</w:t>
      </w:r>
    </w:p>
    <w:p>
      <w:pPr>
        <w:pStyle w:val="ListBullet"/>
        <w:spacing w:after="20"/>
      </w:pPr>
      <w:r>
        <w:rPr>
          <w:sz w:val="20"/>
        </w:rPr>
        <w:t>access and servicing needs</w:t>
      </w:r>
    </w:p>
    <w:p>
      <w:pPr>
        <w:pStyle w:val="ListBullet"/>
        <w:spacing w:after="20"/>
      </w:pPr>
      <w:r>
        <w:rPr>
          <w:sz w:val="20"/>
        </w:rPr>
        <w:t>layout and budget impact of utility requirements</w:t>
      </w:r>
    </w:p>
    <w:p>
      <w:pPr>
        <w:spacing w:before="200" w:after="80"/>
      </w:pPr>
      <w:r>
        <w:rPr>
          <w:b/>
          <w:color w:val="0E467A"/>
          <w:sz w:val="28"/>
        </w:rPr>
        <w:t>Why this is often delayed</w:t>
      </w:r>
    </w:p>
    <w:p>
      <w:pPr>
        <w:spacing w:after="100" w:line="264" w:lineRule="auto"/>
      </w:pPr>
      <w:r>
        <w:rPr>
          <w:sz w:val="20"/>
        </w:rPr>
        <w:t>Connections are frequently treated as a late administrative step even though they can influence key decisions much earlier.</w:t>
      </w:r>
    </w:p>
    <w:p/>
    <w:p>
      <w:pPr>
        <w:spacing w:before="200" w:after="80"/>
      </w:pPr>
      <w:r>
        <w:rPr>
          <w:b/>
          <w:color w:val="0E467A"/>
          <w:sz w:val="28"/>
        </w:rPr>
        <w:t>RU</w:t>
      </w:r>
    </w:p>
    <w:p>
      <w:pPr>
        <w:spacing w:after="100" w:line="264" w:lineRule="auto"/>
      </w:pPr>
      <w:r>
        <w:rPr>
          <w:sz w:val="20"/>
        </w:rPr>
        <w:t>Практическое руководство по проверке инженерных и инфраструктурных условий на раннем этапе проекта, когда подключения и ограничения еще могут повлиять на планировку, бюджет и этапность.</w:t>
      </w:r>
    </w:p>
    <w:p>
      <w:pPr>
        <w:spacing w:before="200" w:after="80"/>
      </w:pPr>
      <w:r>
        <w:rPr>
          <w:b/>
          <w:color w:val="0E467A"/>
          <w:sz w:val="28"/>
        </w:rPr>
        <w:t>Что обычно входит в проверку</w:t>
      </w:r>
    </w:p>
    <w:p>
      <w:pPr>
        <w:pStyle w:val="ListBullet"/>
        <w:spacing w:after="20"/>
      </w:pPr>
      <w:r>
        <w:rPr>
          <w:sz w:val="20"/>
        </w:rPr>
        <w:t>электроснабжение и условия подключения</w:t>
      </w:r>
    </w:p>
    <w:p>
      <w:pPr>
        <w:pStyle w:val="ListBullet"/>
        <w:spacing w:after="20"/>
      </w:pPr>
      <w:r>
        <w:rPr>
          <w:sz w:val="20"/>
        </w:rPr>
        <w:t>вода и канализация</w:t>
      </w:r>
    </w:p>
    <w:p>
      <w:pPr>
        <w:pStyle w:val="ListBullet"/>
        <w:spacing w:after="20"/>
      </w:pPr>
      <w:r>
        <w:rPr>
          <w:sz w:val="20"/>
        </w:rPr>
        <w:t>существующие сети и коридоры</w:t>
      </w:r>
    </w:p>
    <w:p>
      <w:pPr>
        <w:pStyle w:val="ListBullet"/>
        <w:spacing w:after="20"/>
      </w:pPr>
      <w:r>
        <w:rPr>
          <w:sz w:val="20"/>
        </w:rPr>
        <w:t>доступ и сервисные требования</w:t>
      </w:r>
    </w:p>
    <w:p>
      <w:pPr>
        <w:pStyle w:val="ListBullet"/>
        <w:spacing w:after="20"/>
      </w:pPr>
      <w:r>
        <w:rPr>
          <w:sz w:val="20"/>
        </w:rPr>
        <w:t>влияние инженерных условий на планировку и бюджет</w:t>
      </w:r>
    </w:p>
    <w:p>
      <w:pPr>
        <w:spacing w:before="200" w:after="80"/>
      </w:pPr>
      <w:r>
        <w:rPr>
          <w:b/>
          <w:color w:val="0E467A"/>
          <w:sz w:val="28"/>
        </w:rPr>
        <w:t>Почему это часто откладывают</w:t>
      </w:r>
    </w:p>
    <w:p>
      <w:pPr>
        <w:spacing w:after="100" w:line="264" w:lineRule="auto"/>
      </w:pPr>
      <w:r>
        <w:rPr>
          <w:sz w:val="20"/>
        </w:rPr>
        <w:t>Подключения часто считают поздним административным этапом, хотя они способны гораздо раньше повлиять на ключевые решения.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224" w:right="1152" w:bottom="1008" w:left="1152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5A6270"/>
        <w:sz w:val="16"/>
      </w:rPr>
      <w:t>BuildInSerbia resource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325880" cy="17346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s_logo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80" cy="173469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before="40" w:after="0"/>
      <w:pBdr>
        <w:bottom w:val="single" w:sz="6" w:space="1" w:color="D9E2EC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