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0"/>
      </w:pPr>
      <w:r>
        <w:rPr>
          <w:b/>
          <w:color w:val="0E467A"/>
          <w:sz w:val="44"/>
        </w:rPr>
        <w:t>Site Readiness Checklist Before Works Start</w:t>
      </w:r>
    </w:p>
    <w:p>
      <w:pPr>
        <w:spacing w:after="160"/>
      </w:pPr>
      <w:r>
        <w:rPr>
          <w:color w:val="5A6270"/>
          <w:sz w:val="21"/>
        </w:rPr>
        <w:t>Three-language reference resource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Languages: </w:t>
            </w:r>
            <w:r>
              <w:rPr>
                <w:sz w:val="18"/>
              </w:rPr>
              <w:t>SR / EN / RU</w:t>
            </w:r>
          </w:p>
        </w:tc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Category: </w:t>
            </w:r>
            <w:r>
              <w:rPr>
                <w:sz w:val="18"/>
              </w:rPr>
              <w:t>Pre-Construction, Checklists, Planning</w:t>
            </w:r>
          </w:p>
        </w:tc>
      </w:tr>
    </w:tbl>
    <w:p/>
    <w:p>
      <w:pPr>
        <w:spacing w:before="200" w:after="80"/>
      </w:pPr>
      <w:r>
        <w:rPr>
          <w:b/>
          <w:color w:val="0E467A"/>
          <w:sz w:val="28"/>
        </w:rPr>
        <w:t>SR</w:t>
      </w:r>
    </w:p>
    <w:p>
      <w:pPr>
        <w:spacing w:after="100" w:line="264" w:lineRule="auto"/>
      </w:pPr>
      <w:r>
        <w:rPr>
          <w:sz w:val="20"/>
        </w:rPr>
        <w:t>Kontrolna lista za proveru spremnosti lokacije pre početka radova. Pomaže da se proceni da li projekat može da krene bez nepotrebne zabune i korekcija.</w:t>
      </w:r>
    </w:p>
    <w:p>
      <w:pPr>
        <w:spacing w:before="200" w:after="80"/>
      </w:pPr>
      <w:r>
        <w:rPr>
          <w:b/>
          <w:color w:val="0E467A"/>
          <w:sz w:val="28"/>
        </w:rPr>
        <w:t>Šta potvrditi pre starta</w:t>
      </w:r>
    </w:p>
    <w:p>
      <w:pPr>
        <w:pStyle w:val="ListBullet"/>
        <w:spacing w:after="20"/>
      </w:pPr>
      <w:r>
        <w:rPr>
          <w:sz w:val="20"/>
        </w:rPr>
        <w:t>jasan scope</w:t>
      </w:r>
    </w:p>
    <w:p>
      <w:pPr>
        <w:pStyle w:val="ListBullet"/>
        <w:spacing w:after="20"/>
      </w:pPr>
      <w:r>
        <w:rPr>
          <w:sz w:val="20"/>
        </w:rPr>
        <w:t>usklađenost sa izvođačem</w:t>
      </w:r>
    </w:p>
    <w:p>
      <w:pPr>
        <w:pStyle w:val="ListBullet"/>
        <w:spacing w:after="20"/>
      </w:pPr>
      <w:r>
        <w:rPr>
          <w:sz w:val="20"/>
        </w:rPr>
        <w:t>tehnički nalazi</w:t>
      </w:r>
    </w:p>
    <w:p>
      <w:pPr>
        <w:pStyle w:val="ListBullet"/>
        <w:spacing w:after="20"/>
      </w:pPr>
      <w:r>
        <w:rPr>
          <w:sz w:val="20"/>
        </w:rPr>
        <w:t>tajming materijala</w:t>
      </w:r>
    </w:p>
    <w:p>
      <w:pPr>
        <w:pStyle w:val="ListBullet"/>
        <w:spacing w:after="20"/>
      </w:pPr>
      <w:r>
        <w:rPr>
          <w:sz w:val="20"/>
        </w:rPr>
        <w:t>pristup lokaciji</w:t>
      </w:r>
    </w:p>
    <w:p>
      <w:pPr>
        <w:pStyle w:val="ListBullet"/>
        <w:spacing w:after="20"/>
      </w:pPr>
      <w:r>
        <w:rPr>
          <w:sz w:val="20"/>
        </w:rPr>
        <w:t>logistika</w:t>
      </w:r>
    </w:p>
    <w:p>
      <w:pPr>
        <w:pStyle w:val="ListBullet"/>
        <w:spacing w:after="20"/>
      </w:pPr>
      <w:r>
        <w:rPr>
          <w:sz w:val="20"/>
        </w:rPr>
        <w:t>redosled zanata</w:t>
      </w:r>
    </w:p>
    <w:p>
      <w:pPr>
        <w:pStyle w:val="ListBullet"/>
        <w:spacing w:after="20"/>
      </w:pPr>
      <w:r>
        <w:rPr>
          <w:sz w:val="20"/>
        </w:rPr>
        <w:t>zaštita gotovih površina</w:t>
      </w:r>
    </w:p>
    <w:p>
      <w:pPr>
        <w:pStyle w:val="ListBullet"/>
        <w:spacing w:after="20"/>
      </w:pPr>
      <w:r>
        <w:rPr>
          <w:sz w:val="20"/>
        </w:rPr>
        <w:t>upravljanje otpadom</w:t>
      </w:r>
    </w:p>
    <w:p>
      <w:pPr>
        <w:pStyle w:val="ListBullet"/>
        <w:spacing w:after="20"/>
      </w:pPr>
      <w:r>
        <w:rPr>
          <w:sz w:val="20"/>
        </w:rPr>
        <w:t>rezerva za nepredviđeno</w:t>
      </w:r>
    </w:p>
    <w:p>
      <w:pPr>
        <w:spacing w:before="200" w:after="80"/>
      </w:pPr>
      <w:r>
        <w:rPr>
          <w:b/>
          <w:color w:val="0E467A"/>
          <w:sz w:val="28"/>
        </w:rPr>
        <w:t>Rani signali rizika</w:t>
      </w:r>
    </w:p>
    <w:p>
      <w:pPr>
        <w:pStyle w:val="ListBullet"/>
        <w:spacing w:after="20"/>
      </w:pPr>
      <w:r>
        <w:rPr>
          <w:sz w:val="20"/>
        </w:rPr>
        <w:t>nejasan obim u ranoj fazi</w:t>
      </w:r>
    </w:p>
    <w:p>
      <w:pPr>
        <w:pStyle w:val="ListBullet"/>
        <w:spacing w:after="20"/>
      </w:pPr>
      <w:r>
        <w:rPr>
          <w:sz w:val="20"/>
        </w:rPr>
        <w:t>nerešena tehnička pitanja</w:t>
      </w:r>
    </w:p>
    <w:p>
      <w:pPr>
        <w:pStyle w:val="ListBullet"/>
        <w:spacing w:after="20"/>
      </w:pPr>
      <w:r>
        <w:rPr>
          <w:sz w:val="20"/>
        </w:rPr>
        <w:t>kasna nabavka</w:t>
      </w:r>
    </w:p>
    <w:p>
      <w:pPr>
        <w:pStyle w:val="ListBullet"/>
        <w:spacing w:after="20"/>
      </w:pPr>
      <w:r>
        <w:rPr>
          <w:sz w:val="20"/>
        </w:rPr>
        <w:t>nedefinisano vlasništvo nad koordinacijom</w:t>
      </w:r>
    </w:p>
    <w:p>
      <w:pPr>
        <w:pStyle w:val="ListBullet"/>
        <w:spacing w:after="20"/>
      </w:pPr>
      <w:r>
        <w:rPr>
          <w:sz w:val="20"/>
        </w:rPr>
        <w:t>nerealna očekivanja za početak</w:t>
      </w:r>
    </w:p>
    <w:p/>
    <w:p>
      <w:pPr>
        <w:spacing w:before="200" w:after="80"/>
      </w:pPr>
      <w:r>
        <w:rPr>
          <w:b/>
          <w:color w:val="0E467A"/>
          <w:sz w:val="28"/>
        </w:rPr>
        <w:t>EN</w:t>
      </w:r>
    </w:p>
    <w:p>
      <w:pPr>
        <w:spacing w:after="100" w:line="264" w:lineRule="auto"/>
      </w:pPr>
      <w:r>
        <w:rPr>
          <w:sz w:val="20"/>
        </w:rPr>
        <w:t>A checklist for confirming whether a site is ready before construction or renovation works begin.</w:t>
      </w:r>
    </w:p>
    <w:p>
      <w:pPr>
        <w:spacing w:before="200" w:after="80"/>
      </w:pPr>
      <w:r>
        <w:rPr>
          <w:b/>
          <w:color w:val="0E467A"/>
          <w:sz w:val="28"/>
        </w:rPr>
        <w:t>Confirm before starting</w:t>
      </w:r>
    </w:p>
    <w:p>
      <w:pPr>
        <w:pStyle w:val="ListBullet"/>
        <w:spacing w:after="20"/>
      </w:pPr>
      <w:r>
        <w:rPr>
          <w:sz w:val="20"/>
        </w:rPr>
        <w:t>scope clarity</w:t>
      </w:r>
    </w:p>
    <w:p>
      <w:pPr>
        <w:pStyle w:val="ListBullet"/>
        <w:spacing w:after="20"/>
      </w:pPr>
      <w:r>
        <w:rPr>
          <w:sz w:val="20"/>
        </w:rPr>
        <w:t>contractor alignment</w:t>
      </w:r>
    </w:p>
    <w:p>
      <w:pPr>
        <w:pStyle w:val="ListBullet"/>
        <w:spacing w:after="20"/>
      </w:pPr>
      <w:r>
        <w:rPr>
          <w:sz w:val="20"/>
        </w:rPr>
        <w:t>technical findings</w:t>
      </w:r>
    </w:p>
    <w:p>
      <w:pPr>
        <w:pStyle w:val="ListBullet"/>
        <w:spacing w:after="20"/>
      </w:pPr>
      <w:r>
        <w:rPr>
          <w:sz w:val="20"/>
        </w:rPr>
        <w:t>material timing</w:t>
      </w:r>
    </w:p>
    <w:p>
      <w:pPr>
        <w:pStyle w:val="ListBullet"/>
        <w:spacing w:after="20"/>
      </w:pPr>
      <w:r>
        <w:rPr>
          <w:sz w:val="20"/>
        </w:rPr>
        <w:t>access conditions</w:t>
      </w:r>
    </w:p>
    <w:p>
      <w:pPr>
        <w:pStyle w:val="ListBullet"/>
        <w:spacing w:after="20"/>
      </w:pPr>
      <w:r>
        <w:rPr>
          <w:sz w:val="20"/>
        </w:rPr>
        <w:t>logistics planning</w:t>
      </w:r>
    </w:p>
    <w:p>
      <w:pPr>
        <w:pStyle w:val="ListBullet"/>
        <w:spacing w:after="20"/>
      </w:pPr>
      <w:r>
        <w:rPr>
          <w:sz w:val="20"/>
        </w:rPr>
        <w:t>sequencing of trades</w:t>
      </w:r>
    </w:p>
    <w:p>
      <w:pPr>
        <w:pStyle w:val="ListBullet"/>
        <w:spacing w:after="20"/>
      </w:pPr>
      <w:r>
        <w:rPr>
          <w:sz w:val="20"/>
        </w:rPr>
        <w:t>protection of finished areas</w:t>
      </w:r>
    </w:p>
    <w:p>
      <w:pPr>
        <w:pStyle w:val="ListBullet"/>
        <w:spacing w:after="20"/>
      </w:pPr>
      <w:r>
        <w:rPr>
          <w:sz w:val="20"/>
        </w:rPr>
        <w:t>waste handling</w:t>
      </w:r>
    </w:p>
    <w:p>
      <w:pPr>
        <w:pStyle w:val="ListBullet"/>
        <w:spacing w:after="20"/>
      </w:pPr>
      <w:r>
        <w:rPr>
          <w:sz w:val="20"/>
        </w:rPr>
        <w:t>contingency preparedness</w:t>
      </w:r>
    </w:p>
    <w:p>
      <w:pPr>
        <w:spacing w:before="200" w:after="80"/>
      </w:pPr>
      <w:r>
        <w:rPr>
          <w:b/>
          <w:color w:val="0E467A"/>
          <w:sz w:val="28"/>
        </w:rPr>
        <w:t>Common risk signals</w:t>
      </w:r>
    </w:p>
    <w:p>
      <w:pPr>
        <w:pStyle w:val="ListBullet"/>
        <w:spacing w:after="20"/>
      </w:pPr>
      <w:r>
        <w:rPr>
          <w:sz w:val="20"/>
        </w:rPr>
        <w:t>unclear early scope</w:t>
      </w:r>
    </w:p>
    <w:p>
      <w:pPr>
        <w:pStyle w:val="ListBullet"/>
        <w:spacing w:after="20"/>
      </w:pPr>
      <w:r>
        <w:rPr>
          <w:sz w:val="20"/>
        </w:rPr>
        <w:t>unresolved technical issues</w:t>
      </w:r>
    </w:p>
    <w:p>
      <w:pPr>
        <w:pStyle w:val="ListBullet"/>
        <w:spacing w:after="20"/>
      </w:pPr>
      <w:r>
        <w:rPr>
          <w:sz w:val="20"/>
        </w:rPr>
        <w:t>late procurement</w:t>
      </w:r>
    </w:p>
    <w:p>
      <w:pPr>
        <w:pStyle w:val="ListBullet"/>
        <w:spacing w:after="20"/>
      </w:pPr>
      <w:r>
        <w:rPr>
          <w:sz w:val="20"/>
        </w:rPr>
        <w:t>missing coordination ownership</w:t>
      </w:r>
    </w:p>
    <w:p>
      <w:pPr>
        <w:pStyle w:val="ListBullet"/>
        <w:spacing w:after="20"/>
      </w:pPr>
      <w:r>
        <w:rPr>
          <w:sz w:val="20"/>
        </w:rPr>
        <w:t>unrealistic start expectations</w:t>
      </w:r>
    </w:p>
    <w:p/>
    <w:p>
      <w:pPr>
        <w:spacing w:before="200" w:after="80"/>
      </w:pPr>
      <w:r>
        <w:rPr>
          <w:b/>
          <w:color w:val="0E467A"/>
          <w:sz w:val="28"/>
        </w:rPr>
        <w:t>RU</w:t>
      </w:r>
    </w:p>
    <w:p>
      <w:pPr>
        <w:spacing w:after="100" w:line="264" w:lineRule="auto"/>
      </w:pPr>
      <w:r>
        <w:rPr>
          <w:sz w:val="20"/>
        </w:rPr>
        <w:t>Чек-лист для подтверждения готовности площадки перед началом строительных или ремонтных работ.</w:t>
      </w:r>
    </w:p>
    <w:p>
      <w:pPr>
        <w:spacing w:before="200" w:after="80"/>
      </w:pPr>
      <w:r>
        <w:rPr>
          <w:b/>
          <w:color w:val="0E467A"/>
          <w:sz w:val="28"/>
        </w:rPr>
        <w:t>Что подтвердить до старта</w:t>
      </w:r>
    </w:p>
    <w:p>
      <w:pPr>
        <w:pStyle w:val="ListBullet"/>
        <w:spacing w:after="20"/>
      </w:pPr>
      <w:r>
        <w:rPr>
          <w:sz w:val="20"/>
        </w:rPr>
        <w:t>ясность объема работ</w:t>
      </w:r>
    </w:p>
    <w:p>
      <w:pPr>
        <w:pStyle w:val="ListBullet"/>
        <w:spacing w:after="20"/>
      </w:pPr>
      <w:r>
        <w:rPr>
          <w:sz w:val="20"/>
        </w:rPr>
        <w:t>согласованность с подрядчиком</w:t>
      </w:r>
    </w:p>
    <w:p>
      <w:pPr>
        <w:pStyle w:val="ListBullet"/>
        <w:spacing w:after="20"/>
      </w:pPr>
      <w:r>
        <w:rPr>
          <w:sz w:val="20"/>
        </w:rPr>
        <w:t>технические выводы</w:t>
      </w:r>
    </w:p>
    <w:p>
      <w:pPr>
        <w:pStyle w:val="ListBullet"/>
        <w:spacing w:after="20"/>
      </w:pPr>
      <w:r>
        <w:rPr>
          <w:sz w:val="20"/>
        </w:rPr>
        <w:t>сроки по материалам</w:t>
      </w:r>
    </w:p>
    <w:p>
      <w:pPr>
        <w:pStyle w:val="ListBullet"/>
        <w:spacing w:after="20"/>
      </w:pPr>
      <w:r>
        <w:rPr>
          <w:sz w:val="20"/>
        </w:rPr>
        <w:t>условия доступа</w:t>
      </w:r>
    </w:p>
    <w:p>
      <w:pPr>
        <w:pStyle w:val="ListBullet"/>
        <w:spacing w:after="20"/>
      </w:pPr>
      <w:r>
        <w:rPr>
          <w:sz w:val="20"/>
        </w:rPr>
        <w:t>логистическое планирование</w:t>
      </w:r>
    </w:p>
    <w:p>
      <w:pPr>
        <w:pStyle w:val="ListBullet"/>
        <w:spacing w:after="20"/>
      </w:pPr>
      <w:r>
        <w:rPr>
          <w:sz w:val="20"/>
        </w:rPr>
        <w:t>последовательность подрядчиков/специалистов</w:t>
      </w:r>
    </w:p>
    <w:p>
      <w:pPr>
        <w:pStyle w:val="ListBullet"/>
        <w:spacing w:after="20"/>
      </w:pPr>
      <w:r>
        <w:rPr>
          <w:sz w:val="20"/>
        </w:rPr>
        <w:t>защита готовых поверхностей</w:t>
      </w:r>
    </w:p>
    <w:p>
      <w:pPr>
        <w:pStyle w:val="ListBullet"/>
        <w:spacing w:after="20"/>
      </w:pPr>
      <w:r>
        <w:rPr>
          <w:sz w:val="20"/>
        </w:rPr>
        <w:t>обращение с отходами</w:t>
      </w:r>
    </w:p>
    <w:p>
      <w:pPr>
        <w:pStyle w:val="ListBullet"/>
        <w:spacing w:after="20"/>
      </w:pPr>
      <w:r>
        <w:rPr>
          <w:sz w:val="20"/>
        </w:rPr>
        <w:t>готовность по резерву</w:t>
      </w:r>
    </w:p>
    <w:p>
      <w:pPr>
        <w:spacing w:before="200" w:after="80"/>
      </w:pPr>
      <w:r>
        <w:rPr>
          <w:b/>
          <w:color w:val="0E467A"/>
          <w:sz w:val="28"/>
        </w:rPr>
        <w:t>Типичные сигналы риска</w:t>
      </w:r>
    </w:p>
    <w:p>
      <w:pPr>
        <w:pStyle w:val="ListBullet"/>
        <w:spacing w:after="20"/>
      </w:pPr>
      <w:r>
        <w:rPr>
          <w:sz w:val="20"/>
        </w:rPr>
        <w:t>неясный ранний объем</w:t>
      </w:r>
    </w:p>
    <w:p>
      <w:pPr>
        <w:pStyle w:val="ListBullet"/>
        <w:spacing w:after="20"/>
      </w:pPr>
      <w:r>
        <w:rPr>
          <w:sz w:val="20"/>
        </w:rPr>
        <w:t>нерешенные технические вопросы</w:t>
      </w:r>
    </w:p>
    <w:p>
      <w:pPr>
        <w:pStyle w:val="ListBullet"/>
        <w:spacing w:after="20"/>
      </w:pPr>
      <w:r>
        <w:rPr>
          <w:sz w:val="20"/>
        </w:rPr>
        <w:t>поздняя закупка</w:t>
      </w:r>
    </w:p>
    <w:p>
      <w:pPr>
        <w:pStyle w:val="ListBullet"/>
        <w:spacing w:after="20"/>
      </w:pPr>
      <w:r>
        <w:rPr>
          <w:sz w:val="20"/>
        </w:rPr>
        <w:t>неопределенная ответственность за координацию</w:t>
      </w:r>
    </w:p>
    <w:p>
      <w:pPr>
        <w:pStyle w:val="ListBullet"/>
        <w:spacing w:after="20"/>
      </w:pPr>
      <w:r>
        <w:rPr>
          <w:sz w:val="20"/>
        </w:rPr>
        <w:t>нереалистичные ожидания по старту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224" w:right="1152" w:bottom="1008" w:left="1152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5A6270"/>
        <w:sz w:val="16"/>
      </w:rPr>
      <w:t>BuildInSerbia resource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325880" cy="17346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s_logo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173469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40" w:after="0"/>
      <w:pBdr>
        <w:bottom w:val="single" w:sz="6" w:space="1" w:color="D9E2EC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