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0"/>
      </w:pPr>
      <w:r>
        <w:rPr>
          <w:b/>
          <w:color w:val="0E467A"/>
          <w:sz w:val="44"/>
        </w:rPr>
        <w:t>Contractor Offer Review Checklist</w:t>
      </w:r>
    </w:p>
    <w:p>
      <w:pPr>
        <w:spacing w:after="160"/>
      </w:pPr>
      <w:r>
        <w:rPr>
          <w:color w:val="5A6270"/>
          <w:sz w:val="21"/>
        </w:rPr>
        <w:t>Three-language reference resource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shd w:fill="F4F7FA"/>
          </w:tcPr>
          <w:p>
            <w:pPr>
              <w:spacing w:after="0"/>
            </w:pPr>
            <w:r>
              <w:rPr>
                <w:b/>
                <w:color w:val="0E467A"/>
                <w:sz w:val="18"/>
              </w:rPr>
              <w:t xml:space="preserve">Languages: </w:t>
            </w:r>
            <w:r>
              <w:rPr>
                <w:sz w:val="18"/>
              </w:rPr>
              <w:t>SR / EN / RU</w:t>
            </w:r>
          </w:p>
        </w:tc>
        <w:tc>
          <w:tcPr>
            <w:tcW w:type="dxa" w:w="4968"/>
            <w:shd w:fill="F4F7FA"/>
          </w:tcPr>
          <w:p>
            <w:pPr>
              <w:spacing w:after="0"/>
            </w:pPr>
            <w:r>
              <w:rPr>
                <w:b/>
                <w:color w:val="0E467A"/>
                <w:sz w:val="18"/>
              </w:rPr>
              <w:t xml:space="preserve">Category: </w:t>
            </w:r>
            <w:r>
              <w:rPr>
                <w:sz w:val="18"/>
              </w:rPr>
              <w:t>Planning, Checklists, Guides</w:t>
            </w:r>
          </w:p>
        </w:tc>
      </w:tr>
    </w:tbl>
    <w:p/>
    <w:p>
      <w:pPr>
        <w:spacing w:before="200" w:after="80"/>
      </w:pPr>
      <w:r>
        <w:rPr>
          <w:b/>
          <w:color w:val="0E467A"/>
          <w:sz w:val="28"/>
        </w:rPr>
        <w:t>SR</w:t>
      </w:r>
    </w:p>
    <w:p>
      <w:pPr>
        <w:spacing w:after="100" w:line="264" w:lineRule="auto"/>
      </w:pPr>
      <w:r>
        <w:rPr>
          <w:sz w:val="20"/>
        </w:rPr>
        <w:t>Kontrolna lista za pregled ponude izvođača. Ponuda treba da se posmatra kao dokument za donošenje odluke, a ne samo kao cena.</w:t>
      </w:r>
    </w:p>
    <w:p>
      <w:pPr>
        <w:spacing w:before="200" w:after="80"/>
      </w:pPr>
      <w:r>
        <w:rPr>
          <w:b/>
          <w:color w:val="0E467A"/>
          <w:sz w:val="28"/>
        </w:rPr>
        <w:t>Pregled obuhvata radova</w:t>
      </w:r>
    </w:p>
    <w:p>
      <w:pPr>
        <w:pStyle w:val="ListBullet"/>
        <w:spacing w:after="20"/>
      </w:pPr>
      <w:r>
        <w:rPr>
          <w:sz w:val="20"/>
        </w:rPr>
        <w:t>šta je uključeno</w:t>
      </w:r>
    </w:p>
    <w:p>
      <w:pPr>
        <w:pStyle w:val="ListBullet"/>
        <w:spacing w:after="20"/>
      </w:pPr>
      <w:r>
        <w:rPr>
          <w:sz w:val="20"/>
        </w:rPr>
        <w:t>šta je isključeno</w:t>
      </w:r>
    </w:p>
    <w:p>
      <w:pPr>
        <w:pStyle w:val="ListBullet"/>
        <w:spacing w:after="20"/>
      </w:pPr>
      <w:r>
        <w:rPr>
          <w:sz w:val="20"/>
        </w:rPr>
        <w:t>koje pretpostavke utiču na cenu</w:t>
      </w:r>
    </w:p>
    <w:p>
      <w:pPr>
        <w:pStyle w:val="ListBullet"/>
        <w:spacing w:after="20"/>
      </w:pPr>
      <w:r>
        <w:rPr>
          <w:sz w:val="20"/>
        </w:rPr>
        <w:t>da li su uslovi na lokaciji provereni ili pretpostavljeni</w:t>
      </w:r>
    </w:p>
    <w:p>
      <w:pPr>
        <w:spacing w:before="200" w:after="80"/>
      </w:pPr>
      <w:r>
        <w:rPr>
          <w:b/>
          <w:color w:val="0E467A"/>
          <w:sz w:val="28"/>
        </w:rPr>
        <w:t>Pregled rokova</w:t>
      </w:r>
    </w:p>
    <w:p>
      <w:pPr>
        <w:pStyle w:val="ListBullet"/>
        <w:spacing w:after="20"/>
      </w:pPr>
      <w:r>
        <w:rPr>
          <w:sz w:val="20"/>
        </w:rPr>
        <w:t>planirani početak</w:t>
      </w:r>
    </w:p>
    <w:p>
      <w:pPr>
        <w:pStyle w:val="ListBullet"/>
        <w:spacing w:after="20"/>
      </w:pPr>
      <w:r>
        <w:rPr>
          <w:sz w:val="20"/>
        </w:rPr>
        <w:t>ključni milestone-i</w:t>
      </w:r>
    </w:p>
    <w:p>
      <w:pPr>
        <w:pStyle w:val="ListBullet"/>
        <w:spacing w:after="20"/>
      </w:pPr>
      <w:r>
        <w:rPr>
          <w:sz w:val="20"/>
        </w:rPr>
        <w:t>poznati rizici od kašnjenja</w:t>
      </w:r>
    </w:p>
    <w:p>
      <w:pPr>
        <w:pStyle w:val="ListBullet"/>
        <w:spacing w:after="20"/>
      </w:pPr>
      <w:r>
        <w:rPr>
          <w:sz w:val="20"/>
        </w:rPr>
        <w:t>rane odluke koje utiču na tok rada</w:t>
      </w:r>
    </w:p>
    <w:p>
      <w:pPr>
        <w:spacing w:before="200" w:after="80"/>
      </w:pPr>
      <w:r>
        <w:rPr>
          <w:b/>
          <w:color w:val="0E467A"/>
          <w:sz w:val="28"/>
        </w:rPr>
        <w:t>Odgovornosti</w:t>
      </w:r>
    </w:p>
    <w:p>
      <w:pPr>
        <w:pStyle w:val="ListBullet"/>
        <w:spacing w:after="20"/>
      </w:pPr>
      <w:r>
        <w:rPr>
          <w:sz w:val="20"/>
        </w:rPr>
        <w:t>ko vodi dnevnu koordinaciju</w:t>
      </w:r>
    </w:p>
    <w:p>
      <w:pPr>
        <w:pStyle w:val="ListBullet"/>
        <w:spacing w:after="20"/>
      </w:pPr>
      <w:r>
        <w:rPr>
          <w:sz w:val="20"/>
        </w:rPr>
        <w:t>da li postoje podizvođači</w:t>
      </w:r>
    </w:p>
    <w:p>
      <w:pPr>
        <w:pStyle w:val="ListBullet"/>
        <w:spacing w:after="20"/>
      </w:pPr>
      <w:r>
        <w:rPr>
          <w:sz w:val="20"/>
        </w:rPr>
        <w:t>kako se kontroliše kvalitet</w:t>
      </w:r>
    </w:p>
    <w:p>
      <w:pPr>
        <w:pStyle w:val="ListBullet"/>
        <w:spacing w:after="20"/>
      </w:pPr>
      <w:r>
        <w:rPr>
          <w:sz w:val="20"/>
        </w:rPr>
        <w:t>kako se rešavaju korekcije</w:t>
      </w:r>
    </w:p>
    <w:p>
      <w:pPr>
        <w:spacing w:before="200" w:after="80"/>
      </w:pPr>
      <w:r>
        <w:rPr>
          <w:b/>
          <w:color w:val="0E467A"/>
          <w:sz w:val="28"/>
        </w:rPr>
        <w:t>Plaćanja i izmene</w:t>
      </w:r>
    </w:p>
    <w:p>
      <w:pPr>
        <w:pStyle w:val="ListBullet"/>
        <w:spacing w:after="20"/>
      </w:pPr>
      <w:r>
        <w:rPr>
          <w:sz w:val="20"/>
        </w:rPr>
        <w:t>faze plaćanja</w:t>
      </w:r>
    </w:p>
    <w:p>
      <w:pPr>
        <w:pStyle w:val="ListBullet"/>
        <w:spacing w:after="20"/>
      </w:pPr>
      <w:r>
        <w:rPr>
          <w:sz w:val="20"/>
        </w:rPr>
        <w:t>dokumentovanje isporuka</w:t>
      </w:r>
    </w:p>
    <w:p>
      <w:pPr>
        <w:pStyle w:val="ListBullet"/>
        <w:spacing w:after="20"/>
      </w:pPr>
      <w:r>
        <w:rPr>
          <w:sz w:val="20"/>
        </w:rPr>
        <w:t>način obračuna izmena</w:t>
      </w:r>
    </w:p>
    <w:p>
      <w:pPr>
        <w:pStyle w:val="ListBullet"/>
        <w:spacing w:after="20"/>
      </w:pPr>
      <w:r>
        <w:rPr>
          <w:sz w:val="20"/>
        </w:rPr>
        <w:t>odobravanje promena obima</w:t>
      </w:r>
    </w:p>
    <w:p/>
    <w:p>
      <w:pPr>
        <w:spacing w:before="200" w:after="80"/>
      </w:pPr>
      <w:r>
        <w:rPr>
          <w:b/>
          <w:color w:val="0E467A"/>
          <w:sz w:val="28"/>
        </w:rPr>
        <w:t>EN</w:t>
      </w:r>
    </w:p>
    <w:p>
      <w:pPr>
        <w:spacing w:after="100" w:line="264" w:lineRule="auto"/>
      </w:pPr>
      <w:r>
        <w:rPr>
          <w:sz w:val="20"/>
        </w:rPr>
        <w:t>A checklist for reviewing a contractor offer. The offer should be treated as a decision document, not only as a price.</w:t>
      </w:r>
    </w:p>
    <w:p>
      <w:pPr>
        <w:spacing w:before="200" w:after="80"/>
      </w:pPr>
      <w:r>
        <w:rPr>
          <w:b/>
          <w:color w:val="0E467A"/>
          <w:sz w:val="28"/>
        </w:rPr>
        <w:t>Scope review</w:t>
      </w:r>
    </w:p>
    <w:p>
      <w:pPr>
        <w:pStyle w:val="ListBullet"/>
        <w:spacing w:after="20"/>
      </w:pPr>
      <w:r>
        <w:rPr>
          <w:sz w:val="20"/>
        </w:rPr>
        <w:t>what is included</w:t>
      </w:r>
    </w:p>
    <w:p>
      <w:pPr>
        <w:pStyle w:val="ListBullet"/>
        <w:spacing w:after="20"/>
      </w:pPr>
      <w:r>
        <w:rPr>
          <w:sz w:val="20"/>
        </w:rPr>
        <w:t>what is excluded</w:t>
      </w:r>
    </w:p>
    <w:p>
      <w:pPr>
        <w:pStyle w:val="ListBullet"/>
        <w:spacing w:after="20"/>
      </w:pPr>
      <w:r>
        <w:rPr>
          <w:sz w:val="20"/>
        </w:rPr>
        <w:t>which assumptions shape the price</w:t>
      </w:r>
    </w:p>
    <w:p>
      <w:pPr>
        <w:pStyle w:val="ListBullet"/>
        <w:spacing w:after="20"/>
      </w:pPr>
      <w:r>
        <w:rPr>
          <w:sz w:val="20"/>
        </w:rPr>
        <w:t>whether site conditions are verified or assumed</w:t>
      </w:r>
    </w:p>
    <w:p>
      <w:pPr>
        <w:spacing w:before="200" w:after="80"/>
      </w:pPr>
      <w:r>
        <w:rPr>
          <w:b/>
          <w:color w:val="0E467A"/>
          <w:sz w:val="28"/>
        </w:rPr>
        <w:t>Schedule review</w:t>
      </w:r>
    </w:p>
    <w:p>
      <w:pPr>
        <w:pStyle w:val="ListBullet"/>
        <w:spacing w:after="20"/>
      </w:pPr>
      <w:r>
        <w:rPr>
          <w:sz w:val="20"/>
        </w:rPr>
        <w:t>planned start date</w:t>
      </w:r>
    </w:p>
    <w:p>
      <w:pPr>
        <w:pStyle w:val="ListBullet"/>
        <w:spacing w:after="20"/>
      </w:pPr>
      <w:r>
        <w:rPr>
          <w:sz w:val="20"/>
        </w:rPr>
        <w:t>main milestones</w:t>
      </w:r>
    </w:p>
    <w:p>
      <w:pPr>
        <w:pStyle w:val="ListBullet"/>
        <w:spacing w:after="20"/>
      </w:pPr>
      <w:r>
        <w:rPr>
          <w:sz w:val="20"/>
        </w:rPr>
        <w:t>known delay risks</w:t>
      </w:r>
    </w:p>
    <w:p>
      <w:pPr>
        <w:pStyle w:val="ListBullet"/>
        <w:spacing w:after="20"/>
      </w:pPr>
      <w:r>
        <w:rPr>
          <w:sz w:val="20"/>
        </w:rPr>
        <w:t>early decision dependencies</w:t>
      </w:r>
    </w:p>
    <w:p>
      <w:pPr>
        <w:spacing w:before="200" w:after="80"/>
      </w:pPr>
      <w:r>
        <w:rPr>
          <w:b/>
          <w:color w:val="0E467A"/>
          <w:sz w:val="28"/>
        </w:rPr>
        <w:t>Responsibility review</w:t>
      </w:r>
    </w:p>
    <w:p>
      <w:pPr>
        <w:pStyle w:val="ListBullet"/>
        <w:spacing w:after="20"/>
      </w:pPr>
      <w:r>
        <w:rPr>
          <w:sz w:val="20"/>
        </w:rPr>
        <w:t>who leads day-to-day coordination</w:t>
      </w:r>
    </w:p>
    <w:p>
      <w:pPr>
        <w:pStyle w:val="ListBullet"/>
        <w:spacing w:after="20"/>
      </w:pPr>
      <w:r>
        <w:rPr>
          <w:sz w:val="20"/>
        </w:rPr>
        <w:t>whether subcontractors are involved</w:t>
      </w:r>
    </w:p>
    <w:p>
      <w:pPr>
        <w:pStyle w:val="ListBullet"/>
        <w:spacing w:after="20"/>
      </w:pPr>
      <w:r>
        <w:rPr>
          <w:sz w:val="20"/>
        </w:rPr>
        <w:t>how quality is controlled</w:t>
      </w:r>
    </w:p>
    <w:p>
      <w:pPr>
        <w:pStyle w:val="ListBullet"/>
        <w:spacing w:after="20"/>
      </w:pPr>
      <w:r>
        <w:rPr>
          <w:sz w:val="20"/>
        </w:rPr>
        <w:t>how corrections are managed</w:t>
      </w:r>
    </w:p>
    <w:p>
      <w:pPr>
        <w:spacing w:before="200" w:after="80"/>
      </w:pPr>
      <w:r>
        <w:rPr>
          <w:b/>
          <w:color w:val="0E467A"/>
          <w:sz w:val="28"/>
        </w:rPr>
        <w:t>Payment and change review</w:t>
      </w:r>
    </w:p>
    <w:p>
      <w:pPr>
        <w:pStyle w:val="ListBullet"/>
        <w:spacing w:after="20"/>
      </w:pPr>
      <w:r>
        <w:rPr>
          <w:sz w:val="20"/>
        </w:rPr>
        <w:t>payment stages</w:t>
      </w:r>
    </w:p>
    <w:p>
      <w:pPr>
        <w:pStyle w:val="ListBullet"/>
        <w:spacing w:after="20"/>
      </w:pPr>
      <w:r>
        <w:rPr>
          <w:sz w:val="20"/>
        </w:rPr>
        <w:t>documentation of deliverables</w:t>
      </w:r>
    </w:p>
    <w:p>
      <w:pPr>
        <w:pStyle w:val="ListBullet"/>
        <w:spacing w:after="20"/>
      </w:pPr>
      <w:r>
        <w:rPr>
          <w:sz w:val="20"/>
        </w:rPr>
        <w:t>how variations are priced</w:t>
      </w:r>
    </w:p>
    <w:p>
      <w:pPr>
        <w:pStyle w:val="ListBullet"/>
        <w:spacing w:after="20"/>
      </w:pPr>
      <w:r>
        <w:rPr>
          <w:sz w:val="20"/>
        </w:rPr>
        <w:t>how scope changes are approved</w:t>
      </w:r>
    </w:p>
    <w:p/>
    <w:p>
      <w:pPr>
        <w:spacing w:before="200" w:after="80"/>
      </w:pPr>
      <w:r>
        <w:rPr>
          <w:b/>
          <w:color w:val="0E467A"/>
          <w:sz w:val="28"/>
        </w:rPr>
        <w:t>RU</w:t>
      </w:r>
    </w:p>
    <w:p>
      <w:pPr>
        <w:spacing w:after="100" w:line="264" w:lineRule="auto"/>
      </w:pPr>
      <w:r>
        <w:rPr>
          <w:sz w:val="20"/>
        </w:rPr>
        <w:t>Чек-лист для проверки предложения подрядчика. Предложение следует рассматривать как документ для принятия решения, а не только как цену.</w:t>
      </w:r>
    </w:p>
    <w:p>
      <w:pPr>
        <w:spacing w:before="200" w:after="80"/>
      </w:pPr>
      <w:r>
        <w:rPr>
          <w:b/>
          <w:color w:val="0E467A"/>
          <w:sz w:val="28"/>
        </w:rPr>
        <w:t>Проверка объема работ</w:t>
      </w:r>
    </w:p>
    <w:p>
      <w:pPr>
        <w:pStyle w:val="ListBullet"/>
        <w:spacing w:after="20"/>
      </w:pPr>
      <w:r>
        <w:rPr>
          <w:sz w:val="20"/>
        </w:rPr>
        <w:t>что включено</w:t>
      </w:r>
    </w:p>
    <w:p>
      <w:pPr>
        <w:pStyle w:val="ListBullet"/>
        <w:spacing w:after="20"/>
      </w:pPr>
      <w:r>
        <w:rPr>
          <w:sz w:val="20"/>
        </w:rPr>
        <w:t>что исключено</w:t>
      </w:r>
    </w:p>
    <w:p>
      <w:pPr>
        <w:pStyle w:val="ListBullet"/>
        <w:spacing w:after="20"/>
      </w:pPr>
      <w:r>
        <w:rPr>
          <w:sz w:val="20"/>
        </w:rPr>
        <w:t>какие предположения лежат в основе цены</w:t>
      </w:r>
    </w:p>
    <w:p>
      <w:pPr>
        <w:pStyle w:val="ListBullet"/>
        <w:spacing w:after="20"/>
      </w:pPr>
      <w:r>
        <w:rPr>
          <w:sz w:val="20"/>
        </w:rPr>
        <w:t>подтверждены ли условия на объекте или они предполагаются</w:t>
      </w:r>
    </w:p>
    <w:p>
      <w:pPr>
        <w:spacing w:before="200" w:after="80"/>
      </w:pPr>
      <w:r>
        <w:rPr>
          <w:b/>
          <w:color w:val="0E467A"/>
          <w:sz w:val="28"/>
        </w:rPr>
        <w:t>Проверка сроков</w:t>
      </w:r>
    </w:p>
    <w:p>
      <w:pPr>
        <w:pStyle w:val="ListBullet"/>
        <w:spacing w:after="20"/>
      </w:pPr>
      <w:r>
        <w:rPr>
          <w:sz w:val="20"/>
        </w:rPr>
        <w:t>плановая дата старта</w:t>
      </w:r>
    </w:p>
    <w:p>
      <w:pPr>
        <w:pStyle w:val="ListBullet"/>
        <w:spacing w:after="20"/>
      </w:pPr>
      <w:r>
        <w:rPr>
          <w:sz w:val="20"/>
        </w:rPr>
        <w:t>ключевые этапы</w:t>
      </w:r>
    </w:p>
    <w:p>
      <w:pPr>
        <w:pStyle w:val="ListBullet"/>
        <w:spacing w:after="20"/>
      </w:pPr>
      <w:r>
        <w:rPr>
          <w:sz w:val="20"/>
        </w:rPr>
        <w:t>известные риски задержек</w:t>
      </w:r>
    </w:p>
    <w:p>
      <w:pPr>
        <w:pStyle w:val="ListBullet"/>
        <w:spacing w:after="20"/>
      </w:pPr>
      <w:r>
        <w:rPr>
          <w:sz w:val="20"/>
        </w:rPr>
        <w:t>ранние решения, от которых зависит график</w:t>
      </w:r>
    </w:p>
    <w:p>
      <w:pPr>
        <w:spacing w:before="200" w:after="80"/>
      </w:pPr>
      <w:r>
        <w:rPr>
          <w:b/>
          <w:color w:val="0E467A"/>
          <w:sz w:val="28"/>
        </w:rPr>
        <w:t>Проверка ответственности</w:t>
      </w:r>
    </w:p>
    <w:p>
      <w:pPr>
        <w:pStyle w:val="ListBullet"/>
        <w:spacing w:after="20"/>
      </w:pPr>
      <w:r>
        <w:rPr>
          <w:sz w:val="20"/>
        </w:rPr>
        <w:t>кто ведет ежедневную координацию</w:t>
      </w:r>
    </w:p>
    <w:p>
      <w:pPr>
        <w:pStyle w:val="ListBullet"/>
        <w:spacing w:after="20"/>
      </w:pPr>
      <w:r>
        <w:rPr>
          <w:sz w:val="20"/>
        </w:rPr>
        <w:t>есть ли субподрядчики</w:t>
      </w:r>
    </w:p>
    <w:p>
      <w:pPr>
        <w:pStyle w:val="ListBullet"/>
        <w:spacing w:after="20"/>
      </w:pPr>
      <w:r>
        <w:rPr>
          <w:sz w:val="20"/>
        </w:rPr>
        <w:t>как контролируется качество</w:t>
      </w:r>
    </w:p>
    <w:p>
      <w:pPr>
        <w:pStyle w:val="ListBullet"/>
        <w:spacing w:after="20"/>
      </w:pPr>
      <w:r>
        <w:rPr>
          <w:sz w:val="20"/>
        </w:rPr>
        <w:t>как управляются исправления</w:t>
      </w:r>
    </w:p>
    <w:p>
      <w:pPr>
        <w:spacing w:before="200" w:after="80"/>
      </w:pPr>
      <w:r>
        <w:rPr>
          <w:b/>
          <w:color w:val="0E467A"/>
          <w:sz w:val="28"/>
        </w:rPr>
        <w:t>Проверка оплат и изменений</w:t>
      </w:r>
    </w:p>
    <w:p>
      <w:pPr>
        <w:pStyle w:val="ListBullet"/>
        <w:spacing w:after="20"/>
      </w:pPr>
      <w:r>
        <w:rPr>
          <w:sz w:val="20"/>
        </w:rPr>
        <w:t>этапы оплаты</w:t>
      </w:r>
    </w:p>
    <w:p>
      <w:pPr>
        <w:pStyle w:val="ListBullet"/>
        <w:spacing w:after="20"/>
      </w:pPr>
      <w:r>
        <w:rPr>
          <w:sz w:val="20"/>
        </w:rPr>
        <w:t>документирование результатов</w:t>
      </w:r>
    </w:p>
    <w:p>
      <w:pPr>
        <w:pStyle w:val="ListBullet"/>
        <w:spacing w:after="20"/>
      </w:pPr>
      <w:r>
        <w:rPr>
          <w:sz w:val="20"/>
        </w:rPr>
        <w:t>как оцениваются изменения</w:t>
      </w:r>
    </w:p>
    <w:p>
      <w:pPr>
        <w:pStyle w:val="ListBullet"/>
        <w:spacing w:after="20"/>
      </w:pPr>
      <w:r>
        <w:rPr>
          <w:sz w:val="20"/>
        </w:rPr>
        <w:t>как утверждаются изменения объема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224" w:right="1152" w:bottom="1008" w:left="1152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5A6270"/>
        <w:sz w:val="16"/>
      </w:rPr>
      <w:t>BuildInSerbia resource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325880" cy="17346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s_logo_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880" cy="173469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before="40" w:after="0"/>
      <w:pBdr>
        <w:bottom w:val="single" w:sz="6" w:space="1" w:color="D9E2EC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