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0"/>
      </w:pPr>
      <w:r>
        <w:rPr>
          <w:b/>
          <w:color w:val="0E467A"/>
          <w:sz w:val="44"/>
        </w:rPr>
        <w:t>Renovation Budget Checklist</w:t>
      </w:r>
    </w:p>
    <w:p>
      <w:pPr>
        <w:spacing w:after="160"/>
      </w:pPr>
      <w:r>
        <w:rPr>
          <w:color w:val="5A6270"/>
          <w:sz w:val="21"/>
        </w:rPr>
        <w:t>Three-language reference resource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  <w:shd w:fill="F4F7FA"/>
          </w:tcPr>
          <w:p>
            <w:pPr>
              <w:spacing w:after="0"/>
            </w:pPr>
            <w:r>
              <w:rPr>
                <w:b/>
                <w:color w:val="0E467A"/>
                <w:sz w:val="18"/>
              </w:rPr>
              <w:t xml:space="preserve">Languages: </w:t>
            </w:r>
            <w:r>
              <w:rPr>
                <w:sz w:val="18"/>
              </w:rPr>
              <w:t>SR / EN / RU</w:t>
            </w:r>
          </w:p>
        </w:tc>
        <w:tc>
          <w:tcPr>
            <w:tcW w:type="dxa" w:w="4968"/>
            <w:shd w:fill="F4F7FA"/>
          </w:tcPr>
          <w:p>
            <w:pPr>
              <w:spacing w:after="0"/>
            </w:pPr>
            <w:r>
              <w:rPr>
                <w:b/>
                <w:color w:val="0E467A"/>
                <w:sz w:val="18"/>
              </w:rPr>
              <w:t xml:space="preserve">Category: </w:t>
            </w:r>
            <w:r>
              <w:rPr>
                <w:sz w:val="18"/>
              </w:rPr>
              <w:t>Budgeting, Renovation, Checklists</w:t>
            </w:r>
          </w:p>
        </w:tc>
      </w:tr>
    </w:tbl>
    <w:p/>
    <w:p>
      <w:pPr>
        <w:spacing w:before="200" w:after="80"/>
      </w:pPr>
      <w:r>
        <w:rPr>
          <w:b/>
          <w:color w:val="0E467A"/>
          <w:sz w:val="28"/>
        </w:rPr>
        <w:t>SR</w:t>
      </w:r>
    </w:p>
    <w:p>
      <w:pPr>
        <w:spacing w:after="100" w:line="264" w:lineRule="auto"/>
      </w:pPr>
      <w:r>
        <w:rPr>
          <w:sz w:val="20"/>
        </w:rPr>
        <w:t>Kontrolna lista za planiranje budžeta renoviranja. Svrha je da budžet ne ostane jedna fiksna cifra, već struktura kroz koju se redovno proveravaju pretpostavke i rizične stavke.</w:t>
      </w:r>
    </w:p>
    <w:p>
      <w:pPr>
        <w:spacing w:before="200" w:after="80"/>
      </w:pPr>
      <w:r>
        <w:rPr>
          <w:b/>
          <w:color w:val="0E467A"/>
          <w:sz w:val="28"/>
        </w:rPr>
        <w:t>Osnovni slojevi budžeta</w:t>
      </w:r>
    </w:p>
    <w:p>
      <w:pPr>
        <w:pStyle w:val="ListBullet"/>
        <w:spacing w:after="20"/>
      </w:pPr>
      <w:r>
        <w:rPr>
          <w:sz w:val="20"/>
        </w:rPr>
        <w:t>rušenje i priprema</w:t>
      </w:r>
    </w:p>
    <w:p>
      <w:pPr>
        <w:pStyle w:val="ListBullet"/>
        <w:spacing w:after="20"/>
      </w:pPr>
      <w:r>
        <w:rPr>
          <w:sz w:val="20"/>
        </w:rPr>
        <w:t>tehničke korekcije</w:t>
      </w:r>
    </w:p>
    <w:p>
      <w:pPr>
        <w:pStyle w:val="ListBullet"/>
        <w:spacing w:after="20"/>
      </w:pPr>
      <w:r>
        <w:rPr>
          <w:sz w:val="20"/>
        </w:rPr>
        <w:t>završne obrade i materijali</w:t>
      </w:r>
    </w:p>
    <w:p>
      <w:pPr>
        <w:pStyle w:val="ListBullet"/>
        <w:spacing w:after="20"/>
      </w:pPr>
      <w:r>
        <w:rPr>
          <w:sz w:val="20"/>
        </w:rPr>
        <w:t>oprema i nameštaj</w:t>
      </w:r>
    </w:p>
    <w:p>
      <w:pPr>
        <w:pStyle w:val="ListBullet"/>
        <w:spacing w:after="20"/>
      </w:pPr>
      <w:r>
        <w:rPr>
          <w:sz w:val="20"/>
        </w:rPr>
        <w:t>transport i logistika</w:t>
      </w:r>
    </w:p>
    <w:p>
      <w:pPr>
        <w:pStyle w:val="ListBullet"/>
        <w:spacing w:after="20"/>
      </w:pPr>
      <w:r>
        <w:rPr>
          <w:sz w:val="20"/>
        </w:rPr>
        <w:t>zaštita prostora i podrška na gradilištu</w:t>
      </w:r>
    </w:p>
    <w:p>
      <w:pPr>
        <w:pStyle w:val="ListBullet"/>
        <w:spacing w:after="20"/>
      </w:pPr>
      <w:r>
        <w:rPr>
          <w:sz w:val="20"/>
        </w:rPr>
        <w:t>kontingencija / rezerva</w:t>
      </w:r>
    </w:p>
    <w:p>
      <w:pPr>
        <w:spacing w:before="200" w:after="80"/>
      </w:pPr>
      <w:r>
        <w:rPr>
          <w:b/>
          <w:color w:val="0E467A"/>
          <w:sz w:val="28"/>
        </w:rPr>
        <w:t>Kontrolne tačke</w:t>
      </w:r>
    </w:p>
    <w:p>
      <w:pPr>
        <w:pStyle w:val="ListBullet"/>
        <w:spacing w:after="20"/>
      </w:pPr>
      <w:r>
        <w:rPr>
          <w:sz w:val="20"/>
        </w:rPr>
        <w:t>nakon obilaska prostora</w:t>
      </w:r>
    </w:p>
    <w:p>
      <w:pPr>
        <w:pStyle w:val="ListBullet"/>
        <w:spacing w:after="20"/>
      </w:pPr>
      <w:r>
        <w:rPr>
          <w:sz w:val="20"/>
        </w:rPr>
        <w:t>nakon tehničkih nalaza</w:t>
      </w:r>
    </w:p>
    <w:p>
      <w:pPr>
        <w:pStyle w:val="ListBullet"/>
        <w:spacing w:after="20"/>
      </w:pPr>
      <w:r>
        <w:rPr>
          <w:sz w:val="20"/>
        </w:rPr>
        <w:t>pre nabavke</w:t>
      </w:r>
    </w:p>
    <w:p>
      <w:pPr>
        <w:pStyle w:val="ListBullet"/>
        <w:spacing w:after="20"/>
      </w:pPr>
      <w:r>
        <w:rPr>
          <w:sz w:val="20"/>
        </w:rPr>
        <w:t>pre finalnog ugovaranja izvođača</w:t>
      </w:r>
    </w:p>
    <w:p>
      <w:pPr>
        <w:spacing w:before="200" w:after="80"/>
      </w:pPr>
      <w:r>
        <w:rPr>
          <w:b/>
          <w:color w:val="0E467A"/>
          <w:sz w:val="28"/>
        </w:rPr>
        <w:t>Česte greške</w:t>
      </w:r>
    </w:p>
    <w:p>
      <w:pPr>
        <w:pStyle w:val="ListBullet"/>
        <w:spacing w:after="20"/>
      </w:pPr>
      <w:r>
        <w:rPr>
          <w:sz w:val="20"/>
        </w:rPr>
        <w:t>prerano zaključavanje jedne cifre</w:t>
      </w:r>
    </w:p>
    <w:p>
      <w:pPr>
        <w:pStyle w:val="ListBullet"/>
        <w:spacing w:after="20"/>
      </w:pPr>
      <w:r>
        <w:rPr>
          <w:sz w:val="20"/>
        </w:rPr>
        <w:t>zanemarivanje pomoćnih troškova</w:t>
      </w:r>
    </w:p>
    <w:p>
      <w:pPr>
        <w:pStyle w:val="ListBullet"/>
        <w:spacing w:after="20"/>
      </w:pPr>
      <w:r>
        <w:rPr>
          <w:sz w:val="20"/>
        </w:rPr>
        <w:t>zaboravljene skrivene popravke</w:t>
      </w:r>
    </w:p>
    <w:p>
      <w:pPr>
        <w:pStyle w:val="ListBullet"/>
        <w:spacing w:after="20"/>
      </w:pPr>
      <w:r>
        <w:rPr>
          <w:sz w:val="20"/>
        </w:rPr>
        <w:t>premala rezerva za nepredviđeno</w:t>
      </w:r>
    </w:p>
    <w:p/>
    <w:p>
      <w:pPr>
        <w:spacing w:before="200" w:after="80"/>
      </w:pPr>
      <w:r>
        <w:rPr>
          <w:b/>
          <w:color w:val="0E467A"/>
          <w:sz w:val="28"/>
        </w:rPr>
        <w:t>EN</w:t>
      </w:r>
    </w:p>
    <w:p>
      <w:pPr>
        <w:spacing w:after="100" w:line="264" w:lineRule="auto"/>
      </w:pPr>
      <w:r>
        <w:rPr>
          <w:sz w:val="20"/>
        </w:rPr>
        <w:t>A checklist for renovation budget planning. The goal is to keep the budget from becoming one fixed number too early and instead use it as a structure that is reviewed as project information improves.</w:t>
      </w:r>
    </w:p>
    <w:p>
      <w:pPr>
        <w:spacing w:before="200" w:after="80"/>
      </w:pPr>
      <w:r>
        <w:rPr>
          <w:b/>
          <w:color w:val="0E467A"/>
          <w:sz w:val="28"/>
        </w:rPr>
        <w:t>Core budget layers</w:t>
      </w:r>
    </w:p>
    <w:p>
      <w:pPr>
        <w:pStyle w:val="ListBullet"/>
        <w:spacing w:after="20"/>
      </w:pPr>
      <w:r>
        <w:rPr>
          <w:sz w:val="20"/>
        </w:rPr>
        <w:t>demolition and preparation</w:t>
      </w:r>
    </w:p>
    <w:p>
      <w:pPr>
        <w:pStyle w:val="ListBullet"/>
        <w:spacing w:after="20"/>
      </w:pPr>
      <w:r>
        <w:rPr>
          <w:sz w:val="20"/>
        </w:rPr>
        <w:t>technical corrections</w:t>
      </w:r>
    </w:p>
    <w:p>
      <w:pPr>
        <w:pStyle w:val="ListBullet"/>
        <w:spacing w:after="20"/>
      </w:pPr>
      <w:r>
        <w:rPr>
          <w:sz w:val="20"/>
        </w:rPr>
        <w:t>finishes and materials</w:t>
      </w:r>
    </w:p>
    <w:p>
      <w:pPr>
        <w:pStyle w:val="ListBullet"/>
        <w:spacing w:after="20"/>
      </w:pPr>
      <w:r>
        <w:rPr>
          <w:sz w:val="20"/>
        </w:rPr>
        <w:t>equipment and furniture</w:t>
      </w:r>
    </w:p>
    <w:p>
      <w:pPr>
        <w:pStyle w:val="ListBullet"/>
        <w:spacing w:after="20"/>
      </w:pPr>
      <w:r>
        <w:rPr>
          <w:sz w:val="20"/>
        </w:rPr>
        <w:t>transport and logistics</w:t>
      </w:r>
    </w:p>
    <w:p>
      <w:pPr>
        <w:pStyle w:val="ListBullet"/>
        <w:spacing w:after="20"/>
      </w:pPr>
      <w:r>
        <w:rPr>
          <w:sz w:val="20"/>
        </w:rPr>
        <w:t>site support and protection</w:t>
      </w:r>
    </w:p>
    <w:p>
      <w:pPr>
        <w:pStyle w:val="ListBullet"/>
        <w:spacing w:after="20"/>
      </w:pPr>
      <w:r>
        <w:rPr>
          <w:sz w:val="20"/>
        </w:rPr>
        <w:t>contingency reserve</w:t>
      </w:r>
    </w:p>
    <w:p>
      <w:pPr>
        <w:spacing w:before="200" w:after="80"/>
      </w:pPr>
      <w:r>
        <w:rPr>
          <w:b/>
          <w:color w:val="0E467A"/>
          <w:sz w:val="28"/>
        </w:rPr>
        <w:t>Review checkpoints</w:t>
      </w:r>
    </w:p>
    <w:p>
      <w:pPr>
        <w:pStyle w:val="ListBullet"/>
        <w:spacing w:after="20"/>
      </w:pPr>
      <w:r>
        <w:rPr>
          <w:sz w:val="20"/>
        </w:rPr>
        <w:t>after site inspection</w:t>
      </w:r>
    </w:p>
    <w:p>
      <w:pPr>
        <w:pStyle w:val="ListBullet"/>
        <w:spacing w:after="20"/>
      </w:pPr>
      <w:r>
        <w:rPr>
          <w:sz w:val="20"/>
        </w:rPr>
        <w:t>after technical findings</w:t>
      </w:r>
    </w:p>
    <w:p>
      <w:pPr>
        <w:pStyle w:val="ListBullet"/>
        <w:spacing w:after="20"/>
      </w:pPr>
      <w:r>
        <w:rPr>
          <w:sz w:val="20"/>
        </w:rPr>
        <w:t>before procurement</w:t>
      </w:r>
    </w:p>
    <w:p>
      <w:pPr>
        <w:pStyle w:val="ListBullet"/>
        <w:spacing w:after="20"/>
      </w:pPr>
      <w:r>
        <w:rPr>
          <w:sz w:val="20"/>
        </w:rPr>
        <w:t>before final contractor commitment</w:t>
      </w:r>
    </w:p>
    <w:p>
      <w:pPr>
        <w:spacing w:before="200" w:after="80"/>
      </w:pPr>
      <w:r>
        <w:rPr>
          <w:b/>
          <w:color w:val="0E467A"/>
          <w:sz w:val="28"/>
        </w:rPr>
        <w:t>Common mistakes</w:t>
      </w:r>
    </w:p>
    <w:p>
      <w:pPr>
        <w:pStyle w:val="ListBullet"/>
        <w:spacing w:after="20"/>
      </w:pPr>
      <w:r>
        <w:rPr>
          <w:sz w:val="20"/>
        </w:rPr>
        <w:t>locking one number too early</w:t>
      </w:r>
    </w:p>
    <w:p>
      <w:pPr>
        <w:pStyle w:val="ListBullet"/>
        <w:spacing w:after="20"/>
      </w:pPr>
      <w:r>
        <w:rPr>
          <w:sz w:val="20"/>
        </w:rPr>
        <w:t>ignoring support costs</w:t>
      </w:r>
    </w:p>
    <w:p>
      <w:pPr>
        <w:pStyle w:val="ListBullet"/>
        <w:spacing w:after="20"/>
      </w:pPr>
      <w:r>
        <w:rPr>
          <w:sz w:val="20"/>
        </w:rPr>
        <w:t>missing hidden repair items</w:t>
      </w:r>
    </w:p>
    <w:p>
      <w:pPr>
        <w:pStyle w:val="ListBullet"/>
        <w:spacing w:after="20"/>
      </w:pPr>
      <w:r>
        <w:rPr>
          <w:sz w:val="20"/>
        </w:rPr>
        <w:t>underestimating contingency</w:t>
      </w:r>
    </w:p>
    <w:p/>
    <w:p>
      <w:pPr>
        <w:spacing w:before="200" w:after="80"/>
      </w:pPr>
      <w:r>
        <w:rPr>
          <w:b/>
          <w:color w:val="0E467A"/>
          <w:sz w:val="28"/>
        </w:rPr>
        <w:t>RU</w:t>
      </w:r>
    </w:p>
    <w:p>
      <w:pPr>
        <w:spacing w:after="100" w:line="264" w:lineRule="auto"/>
      </w:pPr>
      <w:r>
        <w:rPr>
          <w:sz w:val="20"/>
        </w:rPr>
        <w:t>Чек-лист для планирования бюджета ремонта. Его задача - не допустить, чтобы бюджет слишком рано превратился в одну фиксированную цифру, и использовать его как структуру, которая уточняется по мере появления новой информации.</w:t>
      </w:r>
    </w:p>
    <w:p>
      <w:pPr>
        <w:spacing w:before="200" w:after="80"/>
      </w:pPr>
      <w:r>
        <w:rPr>
          <w:b/>
          <w:color w:val="0E467A"/>
          <w:sz w:val="28"/>
        </w:rPr>
        <w:t>Основные бюджетные слои</w:t>
      </w:r>
    </w:p>
    <w:p>
      <w:pPr>
        <w:pStyle w:val="ListBullet"/>
        <w:spacing w:after="20"/>
      </w:pPr>
      <w:r>
        <w:rPr>
          <w:sz w:val="20"/>
        </w:rPr>
        <w:t>демонтаж и подготовка</w:t>
      </w:r>
    </w:p>
    <w:p>
      <w:pPr>
        <w:pStyle w:val="ListBullet"/>
        <w:spacing w:after="20"/>
      </w:pPr>
      <w:r>
        <w:rPr>
          <w:sz w:val="20"/>
        </w:rPr>
        <w:t>технические исправления</w:t>
      </w:r>
    </w:p>
    <w:p>
      <w:pPr>
        <w:pStyle w:val="ListBullet"/>
        <w:spacing w:after="20"/>
      </w:pPr>
      <w:r>
        <w:rPr>
          <w:sz w:val="20"/>
        </w:rPr>
        <w:t>чистовые материалы и отделка</w:t>
      </w:r>
    </w:p>
    <w:p>
      <w:pPr>
        <w:pStyle w:val="ListBullet"/>
        <w:spacing w:after="20"/>
      </w:pPr>
      <w:r>
        <w:rPr>
          <w:sz w:val="20"/>
        </w:rPr>
        <w:t>оборудование и мебель</w:t>
      </w:r>
    </w:p>
    <w:p>
      <w:pPr>
        <w:pStyle w:val="ListBullet"/>
        <w:spacing w:after="20"/>
      </w:pPr>
      <w:r>
        <w:rPr>
          <w:sz w:val="20"/>
        </w:rPr>
        <w:t>транспорт и логистика</w:t>
      </w:r>
    </w:p>
    <w:p>
      <w:pPr>
        <w:pStyle w:val="ListBullet"/>
        <w:spacing w:after="20"/>
      </w:pPr>
      <w:r>
        <w:rPr>
          <w:sz w:val="20"/>
        </w:rPr>
        <w:t>поддержка и защита площадки</w:t>
      </w:r>
    </w:p>
    <w:p>
      <w:pPr>
        <w:pStyle w:val="ListBullet"/>
        <w:spacing w:after="20"/>
      </w:pPr>
      <w:r>
        <w:rPr>
          <w:sz w:val="20"/>
        </w:rPr>
        <w:t>резерв на непредвиденное</w:t>
      </w:r>
    </w:p>
    <w:p>
      <w:pPr>
        <w:spacing w:before="200" w:after="80"/>
      </w:pPr>
      <w:r>
        <w:rPr>
          <w:b/>
          <w:color w:val="0E467A"/>
          <w:sz w:val="28"/>
        </w:rPr>
        <w:t>Точки пересмотра</w:t>
      </w:r>
    </w:p>
    <w:p>
      <w:pPr>
        <w:pStyle w:val="ListBullet"/>
        <w:spacing w:after="20"/>
      </w:pPr>
      <w:r>
        <w:rPr>
          <w:sz w:val="20"/>
        </w:rPr>
        <w:t>после осмотра объекта</w:t>
      </w:r>
    </w:p>
    <w:p>
      <w:pPr>
        <w:pStyle w:val="ListBullet"/>
        <w:spacing w:after="20"/>
      </w:pPr>
      <w:r>
        <w:rPr>
          <w:sz w:val="20"/>
        </w:rPr>
        <w:t>после технических выводов</w:t>
      </w:r>
    </w:p>
    <w:p>
      <w:pPr>
        <w:pStyle w:val="ListBullet"/>
        <w:spacing w:after="20"/>
      </w:pPr>
      <w:r>
        <w:rPr>
          <w:sz w:val="20"/>
        </w:rPr>
        <w:t>до закупки</w:t>
      </w:r>
    </w:p>
    <w:p>
      <w:pPr>
        <w:pStyle w:val="ListBullet"/>
        <w:spacing w:after="20"/>
      </w:pPr>
      <w:r>
        <w:rPr>
          <w:sz w:val="20"/>
        </w:rPr>
        <w:t>до окончательного согласования с подрядчиком</w:t>
      </w:r>
    </w:p>
    <w:p>
      <w:pPr>
        <w:spacing w:before="200" w:after="80"/>
      </w:pPr>
      <w:r>
        <w:rPr>
          <w:b/>
          <w:color w:val="0E467A"/>
          <w:sz w:val="28"/>
        </w:rPr>
        <w:t>Типичные ошибки</w:t>
      </w:r>
    </w:p>
    <w:p>
      <w:pPr>
        <w:pStyle w:val="ListBullet"/>
        <w:spacing w:after="20"/>
      </w:pPr>
      <w:r>
        <w:rPr>
          <w:sz w:val="20"/>
        </w:rPr>
        <w:t>слишком ранняя фиксация одной суммы</w:t>
      </w:r>
    </w:p>
    <w:p>
      <w:pPr>
        <w:pStyle w:val="ListBullet"/>
        <w:spacing w:after="20"/>
      </w:pPr>
      <w:r>
        <w:rPr>
          <w:sz w:val="20"/>
        </w:rPr>
        <w:t>игнорирование вспомогательных расходов</w:t>
      </w:r>
    </w:p>
    <w:p>
      <w:pPr>
        <w:pStyle w:val="ListBullet"/>
        <w:spacing w:after="20"/>
      </w:pPr>
      <w:r>
        <w:rPr>
          <w:sz w:val="20"/>
        </w:rPr>
        <w:t>забытые скрытые ремонты</w:t>
      </w:r>
    </w:p>
    <w:p>
      <w:pPr>
        <w:pStyle w:val="ListBullet"/>
        <w:spacing w:after="20"/>
      </w:pPr>
      <w:r>
        <w:rPr>
          <w:sz w:val="20"/>
        </w:rPr>
        <w:t>недооцененный резерв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224" w:right="1152" w:bottom="1008" w:left="1152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5A6270"/>
        <w:sz w:val="16"/>
      </w:rPr>
      <w:t>BuildInSerbia resource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325880" cy="17346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s_logo_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880" cy="173469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before="40" w:after="0"/>
      <w:pBdr>
        <w:bottom w:val="single" w:sz="6" w:space="1" w:color="D9E2EC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